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STEERING COMMITTEE GUIDELINES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JETAA Mid-South steering committee is responsible for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establishing the goals and direction of the chapter, including developing annual operating rhythm and ensuring that all JETAA activities support the organization’s mission and vision.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Committee members will share responsibility for ensuring the completion of the following duties: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STEERING COMMITTEE DUTIES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Mission, Goals, Chapter Continuity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Develop, share, and facilitate goals that coincide with JETAA Mid-South's mission, vision, and bylaws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Complete 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nnual review of JETAA Mid-South's mission, vision, and bylaws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evelop a working calendar for the upcoming year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Represent JETAA Mid-South at the JETAA National Conference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Write and share reports on the National Conference with officers and members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Administrative &amp; Technology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Participate in Steering Committee meetings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Store, maintain, and add to institutional memory (ex: scrapbooks, minutes, etc.)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Store and track JETAA Mid-South property (ex: happi, educational materials, etc.)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Ensure the JETAA Mid-South brand is used correctly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Renew the website domain name and keep it active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Help solve or debug tech-centric issues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Maintain a master list of all accounts and passwords with reset directions for each.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720" w:firstLine="0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Communication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Serve as POC for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Consulates General of Japan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, CLAIR, other JETAA Groups, and local community groups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Write up communications (Event announcements, CLAIR or Consular news, etc) for dissemination through newsletter, website, social media, and other communication channels.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Update website, social media, and other communication channels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Send out Newsletters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Create promotional flyers for public events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Send out press releases about public events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720" w:firstLine="0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Membership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Maintain and update the membership database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Reach out to returning and departing JETs and add them to the membership database.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Conduct surveys of the membership as needed.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left="72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720" w:firstLine="0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Activity/Event Management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Plan/organize chapter events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Plan/organize/participate in events supporting the JET Recruitment process (recruitment sessions, leaver Q&amp;A, returner reception, interviews, etc).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Facilitate joint events with other community organizations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Facilitate joint events with other JETAA chapters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Develop and maintain written procedural documents for all events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left="720" w:firstLine="0"/>
        <w:rPr>
          <w:rFonts w:ascii="Arial" w:cs="Arial" w:eastAsia="Arial" w:hAnsi="Arial"/>
          <w:color w:val="00000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left="720" w:firstLine="0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Treasury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Complete Grant in Aid (GIA) request for funds from CLAIR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Complete necessary forms to document GIA use, (i.e.: expense reports, activity reports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Lead the application for funds from MOFA when applicable.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Handle all financial transactions, including expense documentation and reimbursement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Provide a financial statement at each business meeting, including expenses, revenue, etc.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Maintain bank account, including ordering checks, updating contact information, etc.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Keep JETAA Mid-South’s tax id number paperwork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a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a"/>
          <w:sz w:val="19"/>
          <w:szCs w:val="19"/>
          <w:rtl w:val="0"/>
        </w:rPr>
        <w:t xml:space="preserve">Stay current on IRS issues that affect JETAA Mid-South’s tax-exempt status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TIME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Steering Committee member can expect to spend approximately 1 - 10 hours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month on JETAA Mid-South business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including planning meetings, communication duties, and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TERM OF COMMITTEE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term of office is one year, coinciding with the chapter's fiscal year, April 1, 2015 to March 31, 2016. Upon being elected,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Steering Committee member will be 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xpected to fully participate and learn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alongside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current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Steering Committee members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until formally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assuming the Committee role on April 1.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